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494C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Mã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thủ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tục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1353D303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2.002409.000.00.00.H25</w:t>
      </w:r>
    </w:p>
    <w:p w14:paraId="11D2CADF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5EBD8A00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1361/QĐ-UBND</w:t>
      </w:r>
    </w:p>
    <w:p w14:paraId="28641CA9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Tên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thủ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tục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23AC4022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Thủ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tục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</w:p>
    <w:p w14:paraId="22252FCC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07A7579D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</w:p>
    <w:p w14:paraId="39D8E5D9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Loại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thủ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tục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50F67811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TTHC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phương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chi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tiết</w:t>
      </w:r>
      <w:proofErr w:type="spellEnd"/>
    </w:p>
    <w:p w14:paraId="1A6913E5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Lĩnh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vực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4C2D0B5D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</w:p>
    <w:p w14:paraId="7719BA16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tự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3104CCE3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Bước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1: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cứu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xem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xét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Trong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10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từ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trường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11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2011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Trường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nhiều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cùng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cử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bày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đủ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những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cử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địnhtại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7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124/2020/NĐ-CP. 2. Thông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thanh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nước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cùng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Trường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nhiều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cùng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cử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những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Bước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2: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a) Sau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nại.Nội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gồm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cứ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ban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ban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tự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thủ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tục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ban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kỹ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bày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(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). b) Sau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thấy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đúng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ra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ngay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thấy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chưa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sở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lastRenderedPageBreak/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2. Giao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tự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ban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nghĩa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3. Tiến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a)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ủy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sư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giúp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yêu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ủy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sư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giúp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cung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Trường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lấy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phương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nhất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hai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mỗi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b)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ích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Trong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ích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yêu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cung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nhất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hai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mỗi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c)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Yêu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cung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Trong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yêu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cung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Trường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yêu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cung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nhất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hai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mỗi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d)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ủy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sư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giúp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cung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đ)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tế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Khi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thiết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tế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thập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đủ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tế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ý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những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tham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những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e)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Trưng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trưng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xét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thấy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sự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đánh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chuyên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môn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kỹ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cứ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lastRenderedPageBreak/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trưng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Khi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xét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thấy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sở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trưng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trưng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bàng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nêu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yêu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g)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Trường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cung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trường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thiết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tham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tham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dung, ý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những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tham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những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thống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nhất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những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vấn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còn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ý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nhau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nhất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mỗi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h)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Trong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xét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thấy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gây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hậu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khắc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phục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ra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vượt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còn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Khi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xét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thấy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còn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ra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hủy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bỏ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ngay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4. Báo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trung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khách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Báo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gồm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dung: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tượng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Trong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yêu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cứ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từng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đúng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toàn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bộ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sai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toàn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bộ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đúng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nguyên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hủy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bỏ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toàn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bộ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sửa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đổi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sung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ban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Bước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3: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1. Trong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yêu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còn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nhau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nghĩa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yêu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khai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chủ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2.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trách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nghĩa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3. Khi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nêu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lastRenderedPageBreak/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tham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bày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ý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ra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cứ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yêu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4.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ý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những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tham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tham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trường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tham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ghi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do;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này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lưu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hồ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5.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cứ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Bước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4: Ra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cứ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(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),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Chủ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tịch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UBND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ra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2.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dung: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tháng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ra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(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);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cứ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nguyên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sửa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đổi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sung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hủy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bỏ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hay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toàn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bộ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chấm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dứt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vấn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bồi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thường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thiệt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(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);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hai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khởi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Tòa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3. Trường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nhiều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cùng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xem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xét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cứ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vào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ra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từng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ra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kèm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danh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sách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những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4. Trong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03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làm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từ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hai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nghĩa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.</w:t>
      </w:r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br/>
      </w:r>
    </w:p>
    <w:p w14:paraId="2034F3B6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Cách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thức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tbl>
      <w:tblPr>
        <w:tblW w:w="10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371"/>
        <w:gridCol w:w="2191"/>
        <w:gridCol w:w="3938"/>
      </w:tblGrid>
      <w:tr w:rsidR="00FD6373" w:rsidRPr="00FD6373" w14:paraId="2215F773" w14:textId="77777777" w:rsidTr="00FD6373">
        <w:trPr>
          <w:tblHeader/>
        </w:trPr>
        <w:tc>
          <w:tcPr>
            <w:tcW w:w="1839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65F64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Hình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thức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nộp</w:t>
            </w:r>
            <w:proofErr w:type="spellEnd"/>
          </w:p>
        </w:tc>
        <w:tc>
          <w:tcPr>
            <w:tcW w:w="2371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3643BE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Thời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hạn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giải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2191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17D48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Phí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,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lệ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3938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001E8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Mô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tả</w:t>
            </w:r>
            <w:proofErr w:type="spellEnd"/>
          </w:p>
        </w:tc>
      </w:tr>
      <w:tr w:rsidR="00FD6373" w:rsidRPr="00FD6373" w14:paraId="429F6670" w14:textId="77777777" w:rsidTr="00FD6373"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2CC45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235693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D0144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692ED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Theo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nại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2011: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nại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thụ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phức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tạp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thụ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Ở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vùng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sâu,vùng</w:t>
            </w:r>
            <w:proofErr w:type="spellEnd"/>
            <w:proofErr w:type="gram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nại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thụ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phức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tạp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thời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thụ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373" w:rsidRPr="00FD6373" w14:paraId="76AF7DD2" w14:textId="77777777" w:rsidTr="00FD6373"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9B671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Dịch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9127F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77F4E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BC634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nại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quyềngiải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-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nại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57AE5B0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Thành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phần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hồ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sơ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tbl>
      <w:tblPr>
        <w:tblW w:w="10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5"/>
        <w:gridCol w:w="2099"/>
        <w:gridCol w:w="1995"/>
      </w:tblGrid>
      <w:tr w:rsidR="00FD6373" w:rsidRPr="00FD6373" w14:paraId="7F9B8581" w14:textId="77777777" w:rsidTr="00FD6373">
        <w:trPr>
          <w:tblHeader/>
        </w:trPr>
        <w:tc>
          <w:tcPr>
            <w:tcW w:w="6245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A6948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Tên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giấy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2098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5A88D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Mẫu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đơn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,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tờ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1995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0084F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Số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lượng</w:t>
            </w:r>
            <w:proofErr w:type="spellEnd"/>
          </w:p>
        </w:tc>
      </w:tr>
      <w:tr w:rsidR="00FD6373" w:rsidRPr="00FD6373" w14:paraId="26C8E245" w14:textId="77777777" w:rsidTr="00FD6373"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D98A8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nại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nại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622FE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color w:val="CE7A58"/>
                <w:sz w:val="24"/>
                <w:szCs w:val="24"/>
              </w:rPr>
              <w:t>Mẫu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CE7A58"/>
                <w:sz w:val="24"/>
                <w:szCs w:val="24"/>
              </w:rPr>
              <w:t xml:space="preserve"> ban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CE7A58"/>
                <w:sz w:val="24"/>
                <w:szCs w:val="24"/>
              </w:rPr>
              <w:t>hành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CE7A58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CE7A58"/>
                <w:sz w:val="24"/>
                <w:szCs w:val="24"/>
              </w:rPr>
              <w:t>kèm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CE7A58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CE7A58"/>
                <w:sz w:val="24"/>
                <w:szCs w:val="24"/>
              </w:rPr>
              <w:t>theo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CE7A58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CE7A58"/>
                <w:sz w:val="24"/>
                <w:szCs w:val="24"/>
              </w:rPr>
              <w:t>Nghị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CE7A58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CE7A58"/>
                <w:sz w:val="24"/>
                <w:szCs w:val="24"/>
              </w:rPr>
              <w:t>định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CE7A58"/>
                <w:sz w:val="24"/>
                <w:szCs w:val="24"/>
              </w:rPr>
              <w:t xml:space="preserve"> 124-2020.doc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972CB" w14:textId="77777777" w:rsidR="00FD6373" w:rsidRPr="00FD6373" w:rsidRDefault="00FD6373" w:rsidP="00FD6373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</w:p>
          <w:p w14:paraId="1B65ADCA" w14:textId="77777777" w:rsidR="00FD6373" w:rsidRPr="00FD6373" w:rsidRDefault="00FD6373" w:rsidP="00FD6373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: 0</w:t>
            </w:r>
          </w:p>
        </w:tc>
      </w:tr>
    </w:tbl>
    <w:p w14:paraId="039D3A46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Đối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tượng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41D154AA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Công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Việt Nam,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bộ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Doanh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(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gồm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doanh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HTX),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</w:p>
    <w:p w14:paraId="16A9D14E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0BCF651F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Ủy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ban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</w:p>
    <w:p w14:paraId="2E670A30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thẩm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41FEA88E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Chủ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tịch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Ủy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ban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</w:p>
    <w:p w14:paraId="6195369C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Địa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tiếp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nhận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HS:</w:t>
      </w:r>
    </w:p>
    <w:p w14:paraId="345CF582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sở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</w:p>
    <w:p w14:paraId="6D435936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ủy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4BC2566A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</w:t>
      </w:r>
    </w:p>
    <w:p w14:paraId="797A0CA0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phối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5A435A72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</w:t>
      </w:r>
    </w:p>
    <w:p w14:paraId="64F1BF39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Kết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quả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2941D88E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</w:p>
    <w:p w14:paraId="5E1D9A2C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Căn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cứ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tbl>
      <w:tblPr>
        <w:tblW w:w="10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3857"/>
        <w:gridCol w:w="1953"/>
        <w:gridCol w:w="2496"/>
      </w:tblGrid>
      <w:tr w:rsidR="00FD6373" w:rsidRPr="00FD6373" w14:paraId="048967CD" w14:textId="77777777" w:rsidTr="00FD6373">
        <w:trPr>
          <w:tblHeader/>
        </w:trPr>
        <w:tc>
          <w:tcPr>
            <w:tcW w:w="2033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07AFA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Số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ký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3857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A9F5C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Trích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1953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084C1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Ngày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ban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2496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1D587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Cơ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quan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ban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hành</w:t>
            </w:r>
            <w:proofErr w:type="spellEnd"/>
          </w:p>
        </w:tc>
      </w:tr>
      <w:tr w:rsidR="00FD6373" w:rsidRPr="00FD6373" w14:paraId="59B2ECD2" w14:textId="77777777" w:rsidTr="00FD6373"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FC917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02/2011/QH13</w:t>
            </w: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231E0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02/2011/QH13</w:t>
            </w: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3032E5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11-11-2011</w:t>
            </w: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1D50D6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373" w:rsidRPr="00FD6373" w14:paraId="7664CD60" w14:textId="77777777" w:rsidTr="00FD6373"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40E47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124/2020/NĐ-CP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49967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124/2020/NĐ-CP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4DD591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73">
              <w:rPr>
                <w:rFonts w:ascii="Times New Roman" w:eastAsia="Times New Roman" w:hAnsi="Times New Roman" w:cs="Times New Roman"/>
                <w:sz w:val="24"/>
                <w:szCs w:val="24"/>
              </w:rPr>
              <w:t>19-10-2020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6EAA6" w14:textId="77777777" w:rsidR="00FD6373" w:rsidRPr="00FD6373" w:rsidRDefault="00FD6373" w:rsidP="00FD637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27CB72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Yêu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cầu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điều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kiện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55B499B9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Theo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11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2011: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trường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sau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đây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1.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bộ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nước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dưới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ban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tự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thủ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tục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ban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phạm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bí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mật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nhà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nước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lĩnh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quốc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phòng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an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ninh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ngoại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danh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mục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phủ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2.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ích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3.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năng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sự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đầy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đủ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4.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diện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5.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chữ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điểm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6.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hiệu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do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đáng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7.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hai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8.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văn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mà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sau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30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tục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9.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Tòa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đã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bằng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bản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Toà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trừ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đình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Tòa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.</w:t>
      </w:r>
    </w:p>
    <w:p w14:paraId="0C7A28B9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Từ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khóa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457904DE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</w:p>
    <w:p w14:paraId="4EBC9350" w14:textId="77777777" w:rsidR="00FD6373" w:rsidRPr="00FD6373" w:rsidRDefault="00FD6373" w:rsidP="00FD637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Mô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tả</w:t>
      </w:r>
      <w:proofErr w:type="spellEnd"/>
      <w:r w:rsidRPr="00FD637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336C35A9" w14:textId="77777777" w:rsidR="00FD6373" w:rsidRPr="00FD6373" w:rsidRDefault="00FD6373" w:rsidP="00FD63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FD6373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</w:t>
      </w:r>
    </w:p>
    <w:p w14:paraId="29BEBFDB" w14:textId="77777777" w:rsidR="00E74007" w:rsidRPr="00FD6373" w:rsidRDefault="00FD6373">
      <w:pPr>
        <w:rPr>
          <w:rFonts w:ascii="Times New Roman" w:hAnsi="Times New Roman" w:cs="Times New Roman"/>
        </w:rPr>
      </w:pPr>
    </w:p>
    <w:sectPr w:rsidR="00E74007" w:rsidRPr="00FD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73"/>
    <w:rsid w:val="00263759"/>
    <w:rsid w:val="00D86917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B86E"/>
  <w15:chartTrackingRefBased/>
  <w15:docId w15:val="{B81993EF-85E1-487E-A430-89CAEB9E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">
    <w:name w:val="link"/>
    <w:basedOn w:val="DefaultParagraphFont"/>
    <w:rsid w:val="00FD6373"/>
  </w:style>
  <w:style w:type="paragraph" w:styleId="NormalWeb">
    <w:name w:val="Normal (Web)"/>
    <w:basedOn w:val="Normal"/>
    <w:uiPriority w:val="99"/>
    <w:semiHidden/>
    <w:unhideWhenUsed/>
    <w:rsid w:val="00FD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825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7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046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988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535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8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6130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13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59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23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48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679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1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2951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32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86193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1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365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67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6828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13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182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8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636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403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1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806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82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743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1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333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2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902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597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535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8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192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42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32CCC-AD7A-48BA-BF1B-D6286DA021CA}"/>
</file>

<file path=customXml/itemProps2.xml><?xml version="1.0" encoding="utf-8"?>
<ds:datastoreItem xmlns:ds="http://schemas.openxmlformats.org/officeDocument/2006/customXml" ds:itemID="{28192DF7-313A-4667-973C-C7340521246F}"/>
</file>

<file path=customXml/itemProps3.xml><?xml version="1.0" encoding="utf-8"?>
<ds:datastoreItem xmlns:ds="http://schemas.openxmlformats.org/officeDocument/2006/customXml" ds:itemID="{EC52B53E-1099-4240-9BA2-E8DF97089C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2121</Words>
  <Characters>12091</Characters>
  <Application>Microsoft Office Word</Application>
  <DocSecurity>0</DocSecurity>
  <Lines>100</Lines>
  <Paragraphs>28</Paragraphs>
  <ScaleCrop>false</ScaleCrop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Bằng Trịnh Xuân</dc:creator>
  <cp:keywords/>
  <dc:description/>
  <cp:lastModifiedBy>Bằng Trịnh Xuân</cp:lastModifiedBy>
  <cp:revision>1</cp:revision>
  <dcterms:created xsi:type="dcterms:W3CDTF">2022-08-27T08:54:00Z</dcterms:created>
  <dcterms:modified xsi:type="dcterms:W3CDTF">2022-08-27T08:55:00Z</dcterms:modified>
</cp:coreProperties>
</file>